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1377B">
      <w:pPr>
        <w:pStyle w:val="2"/>
        <w:jc w:val="center"/>
        <w:rPr>
          <w:rStyle w:val="9"/>
          <w:rFonts w:hint="default" w:ascii="方正大标宋_GBK" w:hAnsi="方正大标宋_GBK" w:eastAsia="方正大标宋_GBK" w:cs="仿宋"/>
          <w:b w:val="0"/>
          <w:color w:val="auto"/>
          <w:sz w:val="44"/>
          <w:szCs w:val="44"/>
          <w:highlight w:val="none"/>
          <w:lang w:val="en-US" w:eastAsia="zh-CN" w:bidi="ar-SA"/>
        </w:rPr>
      </w:pPr>
      <w:r>
        <w:rPr>
          <w:rStyle w:val="9"/>
          <w:rFonts w:hint="default" w:ascii="方正大标宋_GBK" w:hAnsi="方正大标宋_GBK" w:eastAsia="方正大标宋_GBK" w:cs="仿宋"/>
          <w:b w:val="0"/>
          <w:color w:val="auto"/>
          <w:sz w:val="44"/>
          <w:szCs w:val="44"/>
          <w:highlight w:val="none"/>
          <w:lang w:val="en-US" w:eastAsia="zh-CN" w:bidi="ar-SA"/>
        </w:rPr>
        <w:t>采购需求</w:t>
      </w:r>
    </w:p>
    <w:p w14:paraId="088D21DE">
      <w:pPr>
        <w:pStyle w:val="2"/>
        <w:spacing w:line="440" w:lineRule="exact"/>
        <w:rPr>
          <w:rFonts w:hint="default" w:ascii="仿宋_GB2312" w:eastAsia="仿宋_GB2312" w:hAnsiTheme="majorEastAsia" w:cstheme="majorEastAsia"/>
          <w:b w:val="0"/>
          <w:color w:val="auto"/>
          <w:sz w:val="28"/>
          <w:szCs w:val="28"/>
          <w:highlight w:val="none"/>
        </w:rPr>
      </w:pPr>
      <w:bookmarkStart w:id="0" w:name="_Toc24710"/>
      <w:bookmarkEnd w:id="0"/>
      <w:bookmarkStart w:id="1" w:name="_Toc144881037"/>
      <w:bookmarkStart w:id="2" w:name="_Toc144887806"/>
      <w:r>
        <w:rPr>
          <w:rFonts w:ascii="仿宋_GB2312" w:eastAsia="仿宋_GB2312" w:hAnsiTheme="majorEastAsia" w:cstheme="majorEastAsia"/>
          <w:b w:val="0"/>
          <w:color w:val="auto"/>
          <w:sz w:val="28"/>
          <w:szCs w:val="28"/>
          <w:highlight w:val="none"/>
        </w:rPr>
        <w:t>前注:</w:t>
      </w:r>
      <w:bookmarkEnd w:id="1"/>
      <w:bookmarkEnd w:id="2"/>
    </w:p>
    <w:p w14:paraId="0065856A">
      <w:pPr>
        <w:pStyle w:val="2"/>
        <w:spacing w:line="440" w:lineRule="exact"/>
        <w:ind w:firstLine="560" w:firstLineChars="200"/>
        <w:rPr>
          <w:rFonts w:hint="default" w:ascii="仿宋_GB2312" w:eastAsia="仿宋_GB2312" w:hAnsiTheme="majorEastAsia" w:cstheme="majorEastAsia"/>
          <w:b w:val="0"/>
          <w:color w:val="auto"/>
          <w:sz w:val="28"/>
          <w:szCs w:val="28"/>
          <w:highlight w:val="none"/>
        </w:rPr>
      </w:pPr>
      <w:bookmarkStart w:id="3" w:name="_Toc144887807"/>
      <w:bookmarkStart w:id="4" w:name="_Toc144881038"/>
      <w:r>
        <w:rPr>
          <w:rFonts w:ascii="仿宋_GB2312" w:eastAsia="仿宋_GB2312" w:hAnsiTheme="majorEastAsia" w:cstheme="majorEastAsia"/>
          <w:b w:val="0"/>
          <w:color w:val="auto"/>
          <w:sz w:val="28"/>
          <w:szCs w:val="28"/>
          <w:highlight w:val="none"/>
        </w:rPr>
        <w:t>根据《关于规范政府采购进口产品有关工作的通知》及政府采购管理部门的相关规定，下列采购需求中标注进口产品的货物均已履行相关论证手续，经核准采购进口产品，但不限制满足</w:t>
      </w:r>
      <w:r>
        <w:rPr>
          <w:rFonts w:hint="eastAsia" w:ascii="仿宋_GB2312" w:eastAsia="仿宋_GB2312" w:hAnsiTheme="majorEastAsia" w:cstheme="majorEastAsia"/>
          <w:b w:val="0"/>
          <w:color w:val="auto"/>
          <w:sz w:val="28"/>
          <w:szCs w:val="28"/>
          <w:highlight w:val="none"/>
          <w:lang w:eastAsia="zh-CN"/>
        </w:rPr>
        <w:t>响应文件</w:t>
      </w:r>
      <w:r>
        <w:rPr>
          <w:rFonts w:ascii="仿宋_GB2312" w:eastAsia="仿宋_GB2312" w:hAnsiTheme="majorEastAsia" w:cstheme="majorEastAsia"/>
          <w:b w:val="0"/>
          <w:color w:val="auto"/>
          <w:sz w:val="28"/>
          <w:szCs w:val="28"/>
          <w:highlight w:val="none"/>
        </w:rPr>
        <w:t>要求的国内产品参与竞争。未标注进口产品的货物均为拒绝采购进口产品。</w:t>
      </w:r>
      <w:bookmarkEnd w:id="3"/>
      <w:bookmarkEnd w:id="4"/>
    </w:p>
    <w:p w14:paraId="0071C3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color w:val="auto"/>
          <w:kern w:val="0"/>
          <w:sz w:val="24"/>
          <w:szCs w:val="24"/>
          <w:highlight w:val="none"/>
        </w:rPr>
      </w:pPr>
      <w:bookmarkStart w:id="5" w:name="_Toc144881039"/>
      <w:bookmarkStart w:id="6" w:name="_Toc144887808"/>
      <w:r>
        <w:rPr>
          <w:rFonts w:hint="eastAsia" w:ascii="宋体" w:hAnsi="宋体" w:eastAsia="宋体" w:cs="宋体"/>
          <w:b w:val="0"/>
          <w:bCs w:val="0"/>
          <w:color w:val="auto"/>
          <w:kern w:val="0"/>
          <w:sz w:val="24"/>
          <w:szCs w:val="24"/>
          <w:highlight w:val="none"/>
          <w:lang w:val="en-US" w:eastAsia="zh-CN"/>
        </w:rPr>
        <w:t>一、</w:t>
      </w:r>
      <w:r>
        <w:rPr>
          <w:rFonts w:hint="eastAsia" w:ascii="宋体" w:hAnsi="宋体" w:eastAsia="宋体" w:cs="宋体"/>
          <w:b w:val="0"/>
          <w:bCs w:val="0"/>
          <w:color w:val="auto"/>
          <w:kern w:val="0"/>
          <w:sz w:val="24"/>
          <w:szCs w:val="24"/>
          <w:highlight w:val="none"/>
        </w:rPr>
        <w:t xml:space="preserve">采购需求前附表 </w:t>
      </w:r>
    </w:p>
    <w:tbl>
      <w:tblPr>
        <w:tblStyle w:val="7"/>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2583"/>
        <w:gridCol w:w="5551"/>
      </w:tblGrid>
      <w:tr w14:paraId="6403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0" w:type="dxa"/>
          </w:tcPr>
          <w:p w14:paraId="506B898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序号</w:t>
            </w:r>
          </w:p>
        </w:tc>
        <w:tc>
          <w:tcPr>
            <w:tcW w:w="2583" w:type="dxa"/>
          </w:tcPr>
          <w:p w14:paraId="56E297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条款名称</w:t>
            </w:r>
          </w:p>
        </w:tc>
        <w:tc>
          <w:tcPr>
            <w:tcW w:w="5551" w:type="dxa"/>
          </w:tcPr>
          <w:p w14:paraId="3BD5E1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内容、说明与要求</w:t>
            </w:r>
          </w:p>
        </w:tc>
      </w:tr>
      <w:tr w14:paraId="01A8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0" w:type="dxa"/>
            <w:vAlign w:val="center"/>
          </w:tcPr>
          <w:p w14:paraId="346259D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1</w:t>
            </w:r>
          </w:p>
        </w:tc>
        <w:tc>
          <w:tcPr>
            <w:tcW w:w="2583" w:type="dxa"/>
            <w:vAlign w:val="center"/>
          </w:tcPr>
          <w:p w14:paraId="627A48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付款方式</w:t>
            </w:r>
          </w:p>
        </w:tc>
        <w:tc>
          <w:tcPr>
            <w:tcW w:w="5551" w:type="dxa"/>
            <w:vAlign w:val="center"/>
          </w:tcPr>
          <w:p w14:paraId="22925309">
            <w:pPr>
              <w:keepNext w:val="0"/>
              <w:keepLines w:val="0"/>
              <w:widowControl/>
              <w:suppressLineNumbers w:val="0"/>
              <w:jc w:val="center"/>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供应商在完成供货</w:t>
            </w:r>
            <w:r>
              <w:rPr>
                <w:rFonts w:hint="eastAsia" w:ascii="宋体" w:hAnsi="宋体" w:eastAsia="宋体" w:cs="宋体"/>
                <w:b w:val="0"/>
                <w:bCs w:val="0"/>
                <w:color w:val="auto"/>
                <w:kern w:val="0"/>
                <w:sz w:val="24"/>
                <w:szCs w:val="24"/>
                <w:highlight w:val="none"/>
                <w:vertAlign w:val="baseline"/>
                <w:lang w:val="en-US" w:eastAsia="zh-CN"/>
              </w:rPr>
              <w:t>安装</w:t>
            </w:r>
            <w:r>
              <w:rPr>
                <w:rFonts w:hint="eastAsia" w:ascii="宋体" w:hAnsi="宋体" w:eastAsia="宋体" w:cs="宋体"/>
                <w:b w:val="0"/>
                <w:bCs w:val="0"/>
                <w:color w:val="auto"/>
                <w:kern w:val="0"/>
                <w:sz w:val="24"/>
                <w:szCs w:val="24"/>
                <w:highlight w:val="none"/>
                <w:vertAlign w:val="baseline"/>
              </w:rPr>
              <w:t>并验收合格后，支付合同价款的100%。</w:t>
            </w:r>
          </w:p>
        </w:tc>
      </w:tr>
      <w:tr w14:paraId="6D7E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0" w:type="dxa"/>
          </w:tcPr>
          <w:p w14:paraId="0E09F7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2</w:t>
            </w:r>
          </w:p>
        </w:tc>
        <w:tc>
          <w:tcPr>
            <w:tcW w:w="2583" w:type="dxa"/>
          </w:tcPr>
          <w:p w14:paraId="58D069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供货及安装地点</w:t>
            </w:r>
          </w:p>
        </w:tc>
        <w:tc>
          <w:tcPr>
            <w:tcW w:w="5551" w:type="dxa"/>
          </w:tcPr>
          <w:p w14:paraId="218863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淮南市卫生学校</w:t>
            </w:r>
          </w:p>
        </w:tc>
      </w:tr>
      <w:tr w14:paraId="3CE5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0" w:type="dxa"/>
          </w:tcPr>
          <w:p w14:paraId="5DEF8B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3</w:t>
            </w:r>
          </w:p>
        </w:tc>
        <w:tc>
          <w:tcPr>
            <w:tcW w:w="2583" w:type="dxa"/>
          </w:tcPr>
          <w:p w14:paraId="674D94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供货及安装期限</w:t>
            </w:r>
          </w:p>
        </w:tc>
        <w:tc>
          <w:tcPr>
            <w:tcW w:w="5551" w:type="dxa"/>
          </w:tcPr>
          <w:p w14:paraId="7ED611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合同</w:t>
            </w:r>
            <w:r>
              <w:rPr>
                <w:rFonts w:hint="eastAsia" w:ascii="宋体" w:hAnsi="宋体" w:eastAsia="宋体" w:cs="宋体"/>
                <w:b w:val="0"/>
                <w:bCs w:val="0"/>
                <w:color w:val="auto"/>
                <w:kern w:val="0"/>
                <w:sz w:val="24"/>
                <w:szCs w:val="24"/>
                <w:highlight w:val="none"/>
                <w:vertAlign w:val="baseline"/>
                <w:lang w:val="en-US" w:eastAsia="zh-CN"/>
              </w:rPr>
              <w:t>签订</w:t>
            </w:r>
            <w:r>
              <w:rPr>
                <w:rFonts w:hint="eastAsia" w:ascii="宋体" w:hAnsi="宋体" w:eastAsia="宋体" w:cs="宋体"/>
                <w:b w:val="0"/>
                <w:bCs w:val="0"/>
                <w:color w:val="auto"/>
                <w:kern w:val="0"/>
                <w:sz w:val="24"/>
                <w:szCs w:val="24"/>
                <w:highlight w:val="none"/>
                <w:vertAlign w:val="baseline"/>
              </w:rPr>
              <w:t>后30日历天</w:t>
            </w:r>
          </w:p>
        </w:tc>
      </w:tr>
      <w:tr w14:paraId="6B28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0" w:type="dxa"/>
          </w:tcPr>
          <w:p w14:paraId="3AF223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4</w:t>
            </w:r>
          </w:p>
        </w:tc>
        <w:tc>
          <w:tcPr>
            <w:tcW w:w="2583" w:type="dxa"/>
          </w:tcPr>
          <w:p w14:paraId="38110A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免费质保期</w:t>
            </w:r>
          </w:p>
        </w:tc>
        <w:tc>
          <w:tcPr>
            <w:tcW w:w="5551" w:type="dxa"/>
          </w:tcPr>
          <w:p w14:paraId="4FA950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rPr>
              <w:t xml:space="preserve">验收合格之日起 </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 xml:space="preserve"> 年</w:t>
            </w:r>
          </w:p>
        </w:tc>
      </w:tr>
    </w:tbl>
    <w:p w14:paraId="014AFB5A">
      <w:pPr>
        <w:pStyle w:val="2"/>
        <w:spacing w:line="440" w:lineRule="exact"/>
        <w:ind w:firstLine="480" w:firstLineChars="200"/>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二、</w:t>
      </w:r>
      <w:r>
        <w:rPr>
          <w:rFonts w:ascii="宋体" w:hAnsi="宋体" w:eastAsia="宋体" w:cs="宋体"/>
          <w:b w:val="0"/>
          <w:color w:val="auto"/>
          <w:sz w:val="24"/>
          <w:szCs w:val="24"/>
          <w:highlight w:val="none"/>
        </w:rPr>
        <w:t>采购需求</w:t>
      </w:r>
      <w:bookmarkEnd w:id="5"/>
      <w:bookmarkEnd w:id="6"/>
      <w:bookmarkStart w:id="7" w:name="_Toc144887809"/>
      <w:bookmarkStart w:id="8" w:name="_Toc144881040"/>
    </w:p>
    <w:bookmarkEnd w:id="7"/>
    <w:bookmarkEnd w:id="8"/>
    <w:tbl>
      <w:tblPr>
        <w:tblStyle w:val="6"/>
        <w:tblW w:w="97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7"/>
        <w:gridCol w:w="1322"/>
        <w:gridCol w:w="4767"/>
        <w:gridCol w:w="845"/>
        <w:gridCol w:w="866"/>
        <w:gridCol w:w="1078"/>
      </w:tblGrid>
      <w:tr w14:paraId="6504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C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9" w:name="_GoBack"/>
            <w:r>
              <w:rPr>
                <w:rFonts w:hint="eastAsia" w:ascii="宋体" w:hAnsi="宋体" w:eastAsia="宋体" w:cs="宋体"/>
                <w:i w:val="0"/>
                <w:iCs w:val="0"/>
                <w:color w:val="000000"/>
                <w:kern w:val="0"/>
                <w:sz w:val="22"/>
                <w:szCs w:val="22"/>
                <w:u w:val="none"/>
                <w:lang w:val="en-US" w:eastAsia="zh-CN" w:bidi="ar"/>
              </w:rPr>
              <w:t>序号</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8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设备名称</w:t>
            </w:r>
          </w:p>
        </w:tc>
        <w:tc>
          <w:tcPr>
            <w:tcW w:w="4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9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0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9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3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CAE9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6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31F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▲64路网络录像机</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1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1、具有≥2个HDMI接口、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2个VGA接口、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2个RJ45网络接口、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2个USB2.0接口、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2个USB3.0接口、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1个RS232接口、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2个RS485接口、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1个eSata接口；具有</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1路音频输入接口、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2路音频输出接口，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9个SATA接口，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16个报警输入接口、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8个报警输出接口、</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1个DV12V输出接口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64路网络视频接入，支持</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384Mbps接入、</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384Mbps存储、</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384Mbps转发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3、可检测视频中异常音频，出现干扰信号和声音变化幅度过大时，进行报警提示。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4、可支持的音频编码格有G.711alaw、G711ulaw、G.711A、PCM、G.711Mu、G.726、AAC、G.722、G729、MPEG2-layer2；音频采样率有8kHz、16kHz、32kHz、48kHz、64kHz；。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5、★支持摄像头属性调节页面直接展示视频效果，调节效果随参数调整实时展现。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6、支持前智能：人脸检测比对、周界防范、视频结构化、通用行为分析、立体行为分析、人群分布、人数统计、热度图、车牌识别、SMD功能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7、支持32M/24M/16M/12M/8M/6M/5M/4M/3M/1080P/960P/720PIPC分辨率接入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8、支持按时间、按事件等多种方式进行录像的检索、回放、备份，支持图片本地回放与查询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9、支持本机硬盘、网络等存储方式，支持硬盘、外接USB存储设备备份方式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10、支持设备操作日志、报警日志、系统日志的记录与查询功能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11、支持断网续传功能，能对前端摄像机断网这段时间内SD卡中的录像回传到NVR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12、支持即时回放功能，在预览画面下回放指定通道的录像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13、支持预览图像与回放图像的电子放大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14、支持远程管理IPC功能，支持对前端IPC远程升级，支持远程对IPC的编码配置修改等操作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15、支持远程零通道预览功能，可将接入的多路视频图像多画面显示在一路视频图像上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16、支持盘组管理功能，实现视频录像的定向存储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17、支持配额管理功能，实现按通道分配不同的录像天数进行存储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18、支持走廊模式功能，支持IPC画面旋转90°或270°，成9:16走廊模式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19、支持预览通道拖动保存、自定义布局（双目、三目、四目枪机接入）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支持SmartIPC接入、绊线入侵、区域入侵、场景变化、移动侦测、人脸检测、物品遗留和物品搬移时，可给出报警/联动/上传，同时支持SMD、人群分布、热度图、人数统计、车牌检测（支持卡口ITC、球机）、智能跟踪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21、支持人脸检测、人脸识别，系统将检测到的人脸与联动人脸库中的人脸图片进行匹配，当匹配相似度达到时，可给出报警提示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为确保产品和系统得到良好的集成和运维服务，所投监控产品制造商应具备专业的信息系统标准化运维体系，提供ITSS信息技术服务运行维护标准符合性认证证书复印件并加盖制造商公章，须为制造商自有，分子公司证书无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支持接入带有火情检测、冷点检测、热点检测、温度/温差检测、打电话检测、吸烟检测、烟雾检测报警功能的网络摄像机，当触发报警时，可联动录像、抓拍并保存图片、弹出报警画面、声音警告、上传中心、发送邮件、触发报警输出，并按通道、时间、类型检索报警图片，录像搜索结果支持图片和列表2种展现形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24、搜索列表中的设备，不需要添加就可以通过点击预览按钮查看前端的视频画面。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25、设备应自动记录与设备信息安全相关的日志信息，作为独立的安全日志,内容包括用户登录/登出、重要和敏感操作、安全事件等,并划分独立的记录空间存储安全日志,其它日志信息不能覆盖安全日志。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26、★支持CGI命令配置设备配置参数。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上述加★参数须出具国家认可的第三方检测机构出具的检测报告扫描件。</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3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9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F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每栋楼一台</w:t>
            </w:r>
          </w:p>
        </w:tc>
      </w:tr>
      <w:tr w14:paraId="23F7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8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D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硬盘</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F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8TB监控硬盘</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3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D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3D53A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利旧4T10块，</w:t>
            </w:r>
          </w:p>
        </w:tc>
      </w:tr>
      <w:tr w14:paraId="1409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E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F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400W网络高清半球摄像机</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3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400万1/3英寸CMOS图像传感器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2、★智能动态检测(SMD)功能检验:支持对人、机动车、全部(人或机动车)进行检测,当小狗、树叶等非人或车辆目标经过检测区域时,不会触发报警。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3、智能行为分析功能检验；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4、当以下的智能分析行为达到设定的阈值时,可通过客户端软件或IE浏览器给出报警提示;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5、a)绊线入侵;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6、b)区域入侵;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7、样机支持行为分析触发后联动抓图、录像、目标跟踪、报警上传、发送邮件等多种报警触发方式;样机支持设置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6组智能周界规则并进行独立布防,每组的布撤防时间可单独设置,目标在布防区域和布防时间段内出现会触发报警,并联动相关操作;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8、可以对人、机动车、全部(人或机动车)进行检测;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9、支持对智能行为分析目标方向规则进行设置,可设置方向为A-&amp;gt;B、B-&amp;gt;A、A&amp;lt;-&amp;gt;B3种规则;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10、支持灵敏度设置0~10;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11、当小动物、灯光、树叶、气球等非人或机动车目标经过检测区域时,不会触发报警;可对目标大小(像素值)范围进行设置,使样机只对预设大小(像素值)范围内的人员及机动车辆进行检测。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12、★设备内置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2颗混合补光灯,可同时开启</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2颗红外补光灯或</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2颗白光补光灯。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13、支持数字宽动态，3D降噪，强光抑制，背光补偿，数字水印，适用不同监控环境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14、★设备可同时采用DC12V电源与POE供电,当一路电源停止供电后,样机可正常工作。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15、内置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1个麦克风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16、支持DC12V/PoE供电方式，方便工程安装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17、支持</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IP67防护等级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上述加★参数须出具</w:t>
            </w:r>
            <w:r>
              <w:rPr>
                <w:rFonts w:hint="eastAsia" w:ascii="宋体" w:hAnsi="宋体" w:eastAsia="宋体" w:cs="宋体"/>
                <w:i w:val="0"/>
                <w:iCs w:val="0"/>
                <w:color w:val="000000"/>
                <w:kern w:val="0"/>
                <w:sz w:val="22"/>
                <w:szCs w:val="22"/>
                <w:u w:val="none"/>
                <w:lang w:val="en-US" w:eastAsia="zh-CN" w:bidi="ar"/>
              </w:rPr>
              <w:t>国家认可的第三方</w:t>
            </w:r>
            <w:r>
              <w:rPr>
                <w:rFonts w:hint="eastAsia" w:ascii="宋体" w:hAnsi="宋体" w:eastAsia="宋体" w:cs="宋体"/>
                <w:i w:val="0"/>
                <w:iCs w:val="0"/>
                <w:color w:val="000000"/>
                <w:kern w:val="0"/>
                <w:sz w:val="22"/>
                <w:szCs w:val="22"/>
                <w:u w:val="none"/>
                <w:lang w:val="en-US" w:eastAsia="zh-CN" w:bidi="ar"/>
              </w:rPr>
              <w:t>检测机构出具的检测报告扫描件。</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F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0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9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1-5号楼楼梯加水房</w:t>
            </w:r>
          </w:p>
        </w:tc>
      </w:tr>
      <w:tr w14:paraId="58F3B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8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C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400W网络高清枪式摄像机</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2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w:t>
            </w:r>
            <w:r>
              <w:rPr>
                <w:rFonts w:hint="eastAsia" w:ascii="宋体" w:hAnsi="宋体" w:eastAsia="宋体" w:cs="宋体"/>
                <w:i w:val="0"/>
                <w:iCs w:val="0"/>
                <w:color w:val="000000"/>
                <w:kern w:val="0"/>
                <w:sz w:val="22"/>
                <w:szCs w:val="22"/>
                <w:u w:val="none"/>
                <w:lang w:val="en-US" w:eastAsia="zh-CN" w:bidi="ar"/>
              </w:rPr>
              <w:t>国家认可的第三方</w:t>
            </w:r>
            <w:r>
              <w:rPr>
                <w:rFonts w:hint="eastAsia" w:ascii="宋体" w:hAnsi="宋体" w:eastAsia="宋体" w:cs="宋体"/>
                <w:i w:val="0"/>
                <w:iCs w:val="0"/>
                <w:color w:val="000000"/>
                <w:kern w:val="0"/>
                <w:sz w:val="22"/>
                <w:szCs w:val="22"/>
                <w:u w:val="none"/>
                <w:lang w:val="en-US" w:eastAsia="zh-CN" w:bidi="ar"/>
              </w:rPr>
              <w:t>400万1/3英寸CMOS图像传感器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2、设备内置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4颗混合补光灯,可同时开启</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4颗红外补光灯或</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4颗白光补光灯。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3、支持数字宽动态，3D降噪，强光抑制，背光补偿，数字水印，适用不同监控环境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4、补光灯表面为磨砂面,灯珠朝向与样机照射方向一致。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5、补光灯开启后,正面不可见补光灯灯珠。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6、智能动态检测(SMD)功能检验:支持对人、机动车、全部(人或机动车)进行检测,当小狗、树叶等非人或车辆目标经过检测区域时,不会触发报警。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7、智能行为分析功能检验: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8、当以下的智能分析行为达到设定的阈值时,可通过客户端软件或IE浏览器给出报警提示;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9、a)绊线入侵;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10、b)区域入侵;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11、样机支持行为分析触发后联动抓图、录像、目标跟踪、报警上传、发送邮件等多种报警触发方式;样机支持设置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6组智能周界规则并进行独立布防,每组的布撤防时间可单独设置,目标在布防区域和布防时间段内出现会触发报警,并联动相关操作;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12、可以对人、机动车、全部(人或机动车)进行检测;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13、支持对智能行为分析目标方向规则进行设置,可设置方向为A-&amp;gt;B、B-&amp;gt;A、A&amp;lt;-&amp;gt;B3种规则;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14、支持灵敏度设置0~10;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15、当小动物、灯光、树叶、气球等非人或机动车目标经过检测区域时,不会触发报警;可对目标大小(像素值)范围进行设置,使样机只对预设大小(像素值)范围内的人员及机动车辆进行检测。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16、当补光灯开启后,补光亮度均匀,无明显波纹状、圆环状、麻点状、条纹状及不规则亮斑。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17、设备镜头前盖玻璃呈倾斜状,与镜头平面呈4°夹角。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18、内置</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1个麦克风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19、设备可同时采用DC12V电源与POE供电,当一路电源停止供电后,样机可正常工作。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20、支持DC12V/PoE供电方式，方便工程安装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21、支持</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IP67防护等级</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8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5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9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1-5号楼楼顶</w:t>
            </w:r>
          </w:p>
        </w:tc>
      </w:tr>
      <w:tr w14:paraId="61EF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4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F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24口POE千兆交换机</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8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1、交换容量：交换容量≥52Gbps；包转发率：包转发率≥38.69Mpps。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2、端口类型：24个千兆电口，2个千兆SFP。</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3、二层功能：支持MAC地址≥8K。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4、★PoE 支持POE/POE+，POE功率超过370W，并提供官网链接及截图。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5、长期工作温度：长期工作环境温度范围：0℃~45℃。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6、长期工作湿度：长期工作环境相对湿度为5%~95%。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7、★工作模式：支持标准模式、端口隔离、汇聚上联、流控关闭四种工作模式，并提供官网链接及截图。</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C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F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8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5栋楼监控汇聚</w:t>
            </w:r>
          </w:p>
        </w:tc>
      </w:tr>
      <w:tr w14:paraId="64C0B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C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2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8口POE交换机（8+2)</w:t>
            </w:r>
          </w:p>
        </w:tc>
        <w:tc>
          <w:tcPr>
            <w:tcW w:w="4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7E19">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层级: 二层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交换容量: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2Gbps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包转发率: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1.488Mpps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业务端口/槽位描述: Port 1-8:8 ×  10/100Mbps (PoE);Port 9-10:2 ×  10/100Mbps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PoE功率: Port 1-8≤30W，总功率≤125W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PoE协议: IEEE 802.3af；IEEE 802.3at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PoE端口数: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接入电口: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上行电口: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电口速率: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100Mbps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上行电口速率: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100Mbps</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8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0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5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5栋楼监控汇聚</w:t>
            </w:r>
          </w:p>
        </w:tc>
      </w:tr>
      <w:tr w14:paraId="79169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A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08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显示器</w:t>
            </w:r>
          </w:p>
        </w:tc>
        <w:tc>
          <w:tcPr>
            <w:tcW w:w="4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F1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55寸；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2、分辨率：1920*1080；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3、可视角度：垂直：</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178°，水平：</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178°；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4、亮度：</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350cd/m²；对比度：</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1000：1；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5、响应时间≤5ms；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6、安卓系统：Android  7.以及上1；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7、整机外壳采用金属材质，抗撞防刮抗腐蚀，表面无尖锐边缘或凸起，保证安全使用；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★8、视觉舒适度：( VIcO指数）范围在0-1级,满足CSA035.2-2017标准（出具</w:t>
            </w:r>
            <w:r>
              <w:rPr>
                <w:rFonts w:hint="eastAsia" w:ascii="宋体" w:hAnsi="宋体" w:eastAsia="宋体" w:cs="宋体"/>
                <w:i w:val="0"/>
                <w:iCs w:val="0"/>
                <w:color w:val="000000"/>
                <w:kern w:val="0"/>
                <w:sz w:val="22"/>
                <w:szCs w:val="22"/>
                <w:u w:val="none"/>
                <w:lang w:val="en-US" w:eastAsia="zh-CN" w:bidi="ar"/>
              </w:rPr>
              <w:t>国家认可的第三方检测机构出具的检测报告扫描件</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★9、防火等级：为保证产品使用安全，箱体内部的线材均采用符合低烟无卤标准JB/T10491-2004,关键原材料采用防火材料，防火等级达到国际最高标准BS476等级（</w:t>
            </w:r>
            <w:r>
              <w:rPr>
                <w:rFonts w:hint="eastAsia" w:ascii="宋体" w:hAnsi="宋体" w:eastAsia="宋体" w:cs="宋体"/>
                <w:i w:val="0"/>
                <w:iCs w:val="0"/>
                <w:color w:val="000000"/>
                <w:kern w:val="0"/>
                <w:sz w:val="22"/>
                <w:szCs w:val="22"/>
                <w:u w:val="none"/>
                <w:lang w:val="en-US" w:eastAsia="zh-CN" w:bidi="ar"/>
              </w:rPr>
              <w:t>出具国家认可的第三方检测机构出具的检测报告扫描件</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10、自定义开机画面,开机Logo制定，电源支持热拔插,避免临时断电影响屏幕使用；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11、电控系统：漏电保护开关，漏电保护、过压保护。微电脑定时开关,分时段定时控制机器启停,防雷器,防雷等级C级,防止瞬间感应雷击；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12、节目支持：支持图片、视频、音频、文档、时间日期、天气、网页、流媒体直播信号；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13、页面自动跳转：当处于主页面时，10s不进行操作画面会自动跳转到节目播放页面;当处于子页面时60s不进行操作画面会自动跳转到主页面；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14、日程管理：可按起止日期、星期、循环每日,设定一天各时间段的关联节目,并对大屏进行下发播放（可批量下发）。</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69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D9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2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宿舍值班室使用</w:t>
            </w:r>
          </w:p>
        </w:tc>
      </w:tr>
      <w:tr w14:paraId="69AA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8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EC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机柜</w:t>
            </w:r>
          </w:p>
        </w:tc>
        <w:tc>
          <w:tcPr>
            <w:tcW w:w="47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8E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1.2米机柜</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8C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DB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B88F">
            <w:pPr>
              <w:jc w:val="center"/>
              <w:rPr>
                <w:rFonts w:hint="eastAsia" w:ascii="宋体" w:hAnsi="宋体" w:eastAsia="宋体" w:cs="宋体"/>
                <w:i w:val="0"/>
                <w:iCs w:val="0"/>
                <w:color w:val="000000"/>
                <w:sz w:val="22"/>
                <w:szCs w:val="22"/>
                <w:u w:val="none"/>
              </w:rPr>
            </w:pPr>
          </w:p>
        </w:tc>
      </w:tr>
      <w:tr w14:paraId="4855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7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C8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47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E9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超五类网线</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33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8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12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A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传输部分</w:t>
            </w:r>
          </w:p>
        </w:tc>
      </w:tr>
      <w:tr w14:paraId="6124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9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49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w:t>
            </w:r>
          </w:p>
        </w:tc>
        <w:tc>
          <w:tcPr>
            <w:tcW w:w="47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58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2*1.0国标电源线</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4F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8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F6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93C5">
            <w:pPr>
              <w:jc w:val="center"/>
              <w:rPr>
                <w:rFonts w:hint="eastAsia" w:ascii="宋体" w:hAnsi="宋体" w:eastAsia="宋体" w:cs="宋体"/>
                <w:i w:val="0"/>
                <w:iCs w:val="0"/>
                <w:color w:val="000000"/>
                <w:sz w:val="22"/>
                <w:szCs w:val="22"/>
                <w:u w:val="none"/>
              </w:rPr>
            </w:pPr>
          </w:p>
        </w:tc>
      </w:tr>
      <w:tr w14:paraId="01AB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F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D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辅材及安装调试</w:t>
            </w:r>
          </w:p>
        </w:tc>
        <w:tc>
          <w:tcPr>
            <w:tcW w:w="4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0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线管等辅材及安装调试</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E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8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7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辅材及安装调试</w:t>
            </w:r>
          </w:p>
        </w:tc>
      </w:tr>
      <w:bookmarkEnd w:id="9"/>
    </w:tbl>
    <w:p w14:paraId="27F9160E">
      <w:pPr>
        <w:spacing w:line="360" w:lineRule="auto"/>
        <w:ind w:firstLine="241" w:firstLineChars="100"/>
        <w:rPr>
          <w:rFonts w:ascii="宋体" w:hAnsi="宋体" w:eastAsia="宋体" w:cs="宋体"/>
          <w:b w:val="0"/>
          <w:bCs w:val="0"/>
          <w:color w:val="000000"/>
          <w:sz w:val="24"/>
          <w:szCs w:val="24"/>
        </w:rPr>
      </w:pPr>
      <w:r>
        <w:rPr>
          <w:rFonts w:hint="eastAsia" w:ascii="宋体" w:hAnsi="宋体" w:eastAsia="宋体" w:cs="宋体"/>
          <w:b/>
          <w:bCs/>
          <w:color w:val="000000"/>
          <w:sz w:val="24"/>
          <w:szCs w:val="24"/>
          <w:lang w:val="en-US" w:eastAsia="zh-CN"/>
        </w:rPr>
        <w:t>三</w:t>
      </w:r>
      <w:r>
        <w:rPr>
          <w:rFonts w:ascii="宋体" w:hAnsi="宋体" w:eastAsia="宋体" w:cs="宋体"/>
          <w:b/>
          <w:bCs/>
          <w:color w:val="000000"/>
          <w:sz w:val="24"/>
          <w:szCs w:val="24"/>
        </w:rPr>
        <w:t xml:space="preserve">、报价要求 </w:t>
      </w:r>
      <w:r>
        <w:rPr>
          <w:rFonts w:ascii="宋体" w:hAnsi="宋体" w:eastAsia="宋体" w:cs="宋体"/>
          <w:b w:val="0"/>
          <w:bCs w:val="0"/>
          <w:color w:val="000000"/>
          <w:sz w:val="24"/>
          <w:szCs w:val="24"/>
        </w:rPr>
        <w:t>本项目报总价，报价包含完成本项目所需的一切费用。中标后采购人不再另行追加任何费用，请投标人自行考察并综合考虑报价风险。</w:t>
      </w:r>
    </w:p>
    <w:p w14:paraId="42771526">
      <w:pPr>
        <w:spacing w:line="360" w:lineRule="auto"/>
        <w:ind w:firstLine="241" w:firstLineChars="10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四、其他要求</w:t>
      </w:r>
    </w:p>
    <w:p w14:paraId="160989BD">
      <w:pPr>
        <w:pStyle w:val="5"/>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本项目时间要求严格，签订合同后</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rPr>
        <w:t>日历天内必须</w:t>
      </w:r>
      <w:r>
        <w:rPr>
          <w:rFonts w:hint="eastAsia" w:ascii="宋体" w:hAnsi="宋体" w:eastAsia="宋体" w:cs="宋体"/>
          <w:color w:val="auto"/>
          <w:sz w:val="24"/>
          <w:szCs w:val="24"/>
          <w:highlight w:val="none"/>
          <w:lang w:val="en-US" w:eastAsia="zh-CN"/>
        </w:rPr>
        <w:t>完成供货及安装</w:t>
      </w:r>
      <w:r>
        <w:rPr>
          <w:rFonts w:hint="eastAsia" w:ascii="宋体" w:hAnsi="宋体" w:eastAsia="宋体" w:cs="宋体"/>
          <w:color w:val="auto"/>
          <w:sz w:val="24"/>
          <w:szCs w:val="24"/>
          <w:highlight w:val="none"/>
          <w:lang w:val="en-US"/>
        </w:rPr>
        <w:t>，否则视为投标人违约。</w:t>
      </w:r>
    </w:p>
    <w:p w14:paraId="1ED763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_GBK">
    <w:altName w:val="宋体"/>
    <w:panose1 w:val="03000509000000000000"/>
    <w:charset w:val="86"/>
    <w:family w:val="script"/>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BE2E0B"/>
    <w:rsid w:val="09BE2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jc w:val="left"/>
      <w:outlineLvl w:val="0"/>
    </w:pPr>
    <w:rPr>
      <w:rFonts w:hint="eastAsia" w:ascii="黑体" w:hAnsi="宋体" w:eastAsia="黑体" w:cs="Times New Roman"/>
      <w:b/>
      <w:kern w:val="0"/>
      <w:sz w:val="32"/>
      <w:szCs w:val="32"/>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Body Text First Indent 2"/>
    <w:basedOn w:val="3"/>
    <w:next w:val="1"/>
    <w:qFormat/>
    <w:uiPriority w:val="0"/>
    <w:pPr>
      <w:ind w:firstLine="420" w:firstLineChars="200"/>
      <w:jc w:val="left"/>
    </w:pPr>
    <w:rPr>
      <w:rFonts w:ascii="Calibri" w:hAnsi="Calibri" w:eastAsia="Calibri" w:cs="Times New Roman"/>
      <w:kern w:val="0"/>
      <w:sz w:val="22"/>
      <w:szCs w:val="22"/>
    </w:rPr>
  </w:style>
  <w:style w:type="table" w:styleId="7">
    <w:name w:val="Table Grid"/>
    <w:basedOn w:val="6"/>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link w:val="2"/>
    <w:qFormat/>
    <w:uiPriority w:val="0"/>
    <w:rPr>
      <w:rFonts w:hint="eastAsia" w:ascii="黑体" w:hAnsi="宋体" w:eastAsia="黑体" w:cs="Times New Roman"/>
      <w:b/>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2025-10-30T04:17:00Z</dcterms:created>
  <dc:creator>远去→</dc:creator>
  <cp:lastModifiedBy>远去→</cp:lastModifiedBy>
  <dcterms:modified xsi:type="dcterms:W3CDTF">2025-10-30T04:17:54Z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BC68F6D927194A61AF7E482A2085D13F_11</vt:lpwstr>
  </property>
  <property fmtid="{D5CDD505-2E9C-101B-9397-08002B2CF9AE}" pid="4" name="KSOTemplateDocerSaveRecord">
    <vt:lpwstr>eyJoZGlkIjoiOGYyMDhlZDFiNWYzMTA3ZTdmYWYzZmM2MmIwYTUxZmUiLCJ1c2VySWQiOiIxMTUyNjg2MjQxIn0=</vt:lpwstr>
  </property>
</Properties>
</file>